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EB0" w:rsidRPr="002D0EB0" w:rsidRDefault="002D0EB0" w:rsidP="002D0EB0">
      <w:pPr>
        <w:spacing w:line="480" w:lineRule="auto"/>
        <w:rPr>
          <w:rFonts w:ascii="Times New Roman" w:hAnsi="Times New Roman" w:cs="Times New Roman"/>
          <w:sz w:val="24"/>
          <w:szCs w:val="24"/>
        </w:rPr>
      </w:pPr>
    </w:p>
    <w:p w:rsidR="002D0EB0" w:rsidRPr="002D0EB0" w:rsidRDefault="002D0EB0" w:rsidP="002D0EB0">
      <w:pPr>
        <w:spacing w:line="480" w:lineRule="auto"/>
        <w:rPr>
          <w:rFonts w:ascii="Times New Roman" w:hAnsi="Times New Roman" w:cs="Times New Roman"/>
          <w:sz w:val="24"/>
          <w:szCs w:val="24"/>
        </w:rPr>
      </w:pPr>
    </w:p>
    <w:p w:rsidR="002D0EB0" w:rsidRPr="002D0EB0" w:rsidRDefault="002D0EB0" w:rsidP="002D0EB0">
      <w:pPr>
        <w:spacing w:line="480" w:lineRule="auto"/>
        <w:rPr>
          <w:rFonts w:ascii="Times New Roman" w:hAnsi="Times New Roman" w:cs="Times New Roman"/>
          <w:sz w:val="24"/>
          <w:szCs w:val="24"/>
        </w:rPr>
      </w:pPr>
    </w:p>
    <w:p w:rsidR="002D0EB0" w:rsidRPr="002D0EB0" w:rsidRDefault="002D0EB0" w:rsidP="002D0EB0">
      <w:pPr>
        <w:spacing w:line="480" w:lineRule="auto"/>
        <w:rPr>
          <w:rFonts w:ascii="Times New Roman" w:hAnsi="Times New Roman" w:cs="Times New Roman"/>
          <w:sz w:val="24"/>
          <w:szCs w:val="24"/>
        </w:rPr>
      </w:pPr>
    </w:p>
    <w:p w:rsidR="002D0EB0" w:rsidRPr="002D0EB0" w:rsidRDefault="002D0EB0" w:rsidP="002D0EB0">
      <w:pPr>
        <w:spacing w:line="480" w:lineRule="auto"/>
        <w:rPr>
          <w:rFonts w:ascii="Times New Roman" w:hAnsi="Times New Roman" w:cs="Times New Roman"/>
          <w:sz w:val="24"/>
          <w:szCs w:val="24"/>
        </w:rPr>
      </w:pPr>
    </w:p>
    <w:p w:rsidR="002D0EB0" w:rsidRPr="002D0EB0" w:rsidRDefault="002D0EB0" w:rsidP="002D0EB0">
      <w:pPr>
        <w:spacing w:line="480" w:lineRule="auto"/>
        <w:rPr>
          <w:rFonts w:ascii="Times New Roman" w:hAnsi="Times New Roman" w:cs="Times New Roman"/>
          <w:sz w:val="24"/>
          <w:szCs w:val="24"/>
        </w:rPr>
      </w:pPr>
    </w:p>
    <w:p w:rsidR="002D0EB0" w:rsidRPr="002D0EB0" w:rsidRDefault="002D0EB0" w:rsidP="002D0EB0">
      <w:pPr>
        <w:spacing w:line="480" w:lineRule="auto"/>
        <w:jc w:val="center"/>
        <w:rPr>
          <w:rFonts w:ascii="Times New Roman" w:hAnsi="Times New Roman" w:cs="Times New Roman"/>
          <w:sz w:val="24"/>
          <w:szCs w:val="24"/>
        </w:rPr>
      </w:pPr>
      <w:r w:rsidRPr="002D0EB0">
        <w:rPr>
          <w:rFonts w:ascii="Times New Roman" w:hAnsi="Times New Roman" w:cs="Times New Roman"/>
          <w:sz w:val="24"/>
          <w:szCs w:val="24"/>
        </w:rPr>
        <w:t>Questions</w:t>
      </w:r>
    </w:p>
    <w:p w:rsidR="002D0EB0" w:rsidRPr="002D0EB0" w:rsidRDefault="002D0EB0" w:rsidP="002D0EB0">
      <w:pPr>
        <w:spacing w:line="480" w:lineRule="auto"/>
        <w:jc w:val="center"/>
        <w:rPr>
          <w:rFonts w:ascii="Times New Roman" w:hAnsi="Times New Roman" w:cs="Times New Roman"/>
          <w:sz w:val="24"/>
          <w:szCs w:val="24"/>
        </w:rPr>
      </w:pPr>
      <w:r w:rsidRPr="002D0EB0">
        <w:rPr>
          <w:rFonts w:ascii="Times New Roman" w:hAnsi="Times New Roman" w:cs="Times New Roman"/>
          <w:sz w:val="24"/>
          <w:szCs w:val="24"/>
        </w:rPr>
        <w:t>Name of Student</w:t>
      </w:r>
    </w:p>
    <w:p w:rsidR="002D0EB0" w:rsidRPr="002D0EB0" w:rsidRDefault="002D0EB0" w:rsidP="002D0EB0">
      <w:pPr>
        <w:spacing w:line="480" w:lineRule="auto"/>
        <w:jc w:val="center"/>
        <w:rPr>
          <w:rFonts w:ascii="Times New Roman" w:hAnsi="Times New Roman" w:cs="Times New Roman"/>
          <w:sz w:val="24"/>
          <w:szCs w:val="24"/>
        </w:rPr>
      </w:pPr>
      <w:r w:rsidRPr="002D0EB0">
        <w:rPr>
          <w:rFonts w:ascii="Times New Roman" w:hAnsi="Times New Roman" w:cs="Times New Roman"/>
          <w:sz w:val="24"/>
          <w:szCs w:val="24"/>
        </w:rPr>
        <w:t>Name of Institution</w:t>
      </w:r>
    </w:p>
    <w:p w:rsidR="002D0EB0" w:rsidRPr="002D0EB0" w:rsidRDefault="002D0EB0" w:rsidP="002D0EB0">
      <w:pPr>
        <w:spacing w:line="480" w:lineRule="auto"/>
        <w:jc w:val="center"/>
        <w:rPr>
          <w:rFonts w:ascii="Times New Roman" w:hAnsi="Times New Roman" w:cs="Times New Roman"/>
          <w:sz w:val="24"/>
          <w:szCs w:val="24"/>
        </w:rPr>
      </w:pPr>
      <w:r w:rsidRPr="002D0EB0">
        <w:rPr>
          <w:rFonts w:ascii="Times New Roman" w:hAnsi="Times New Roman" w:cs="Times New Roman"/>
          <w:sz w:val="24"/>
          <w:szCs w:val="24"/>
        </w:rPr>
        <w:t>Date</w:t>
      </w:r>
      <w:r w:rsidRPr="002D0EB0">
        <w:rPr>
          <w:rFonts w:ascii="Times New Roman" w:hAnsi="Times New Roman" w:cs="Times New Roman"/>
          <w:sz w:val="24"/>
          <w:szCs w:val="24"/>
        </w:rPr>
        <w:br w:type="page"/>
      </w:r>
    </w:p>
    <w:p w:rsidR="00414711" w:rsidRPr="002D0EB0" w:rsidRDefault="00414711" w:rsidP="002D0EB0">
      <w:pPr>
        <w:spacing w:line="480" w:lineRule="auto"/>
        <w:rPr>
          <w:rFonts w:ascii="Times New Roman" w:hAnsi="Times New Roman" w:cs="Times New Roman"/>
          <w:sz w:val="24"/>
          <w:szCs w:val="24"/>
        </w:rPr>
      </w:pPr>
      <w:r w:rsidRPr="002D0EB0">
        <w:rPr>
          <w:rFonts w:ascii="Times New Roman" w:hAnsi="Times New Roman" w:cs="Times New Roman"/>
          <w:sz w:val="24"/>
          <w:szCs w:val="24"/>
        </w:rPr>
        <w:lastRenderedPageBreak/>
        <w:t>Question 1</w:t>
      </w:r>
    </w:p>
    <w:p w:rsidR="005C3F27" w:rsidRPr="002D0EB0" w:rsidRDefault="00ED7DF5" w:rsidP="002D0EB0">
      <w:pPr>
        <w:spacing w:line="480" w:lineRule="auto"/>
        <w:ind w:firstLine="720"/>
        <w:rPr>
          <w:rFonts w:ascii="Times New Roman" w:hAnsi="Times New Roman" w:cs="Times New Roman"/>
          <w:sz w:val="24"/>
          <w:szCs w:val="24"/>
        </w:rPr>
      </w:pPr>
      <w:r w:rsidRPr="002D0EB0">
        <w:rPr>
          <w:rFonts w:ascii="Times New Roman" w:hAnsi="Times New Roman" w:cs="Times New Roman"/>
          <w:sz w:val="24"/>
          <w:szCs w:val="24"/>
        </w:rPr>
        <w:t xml:space="preserve">In the case of McCulloch v Maryland, the state of Maryland sought to uphold a statutory law where they placed prohibitive tax on the bank notes of the Second Bank of the United States. The Baltimore cashier appealed the case before the Supreme Court on behalf of the bank, after the Maryland courts upheld the statutory law. The first question that the case brought up was whether Congress had the authority to establish a bank? Multiple states did not like the competition the National banks posed to their local ones, and hence opposed having them within their borders. The states claimed the establishment of National Banks by the Congress was an unconstitutional exercise of power. </w:t>
      </w:r>
      <w:r w:rsidR="005C3F27" w:rsidRPr="002D0EB0">
        <w:rPr>
          <w:rFonts w:ascii="Times New Roman" w:hAnsi="Times New Roman" w:cs="Times New Roman"/>
          <w:sz w:val="24"/>
          <w:szCs w:val="24"/>
        </w:rPr>
        <w:t>The Chief Justice proposed an answer to the question referring to Article I, Section 8 of the constitution. The article stipulated that Congress had the power to make all laws that are necessary and proper in carrying out their duties. To this end, Chief Justice Marshall wrote that so long as the ends are legitimate, and they are within the scope of the constitution, and all means which are appropriate, which are plainly adapted to that end, which are not prohibited, but consists with the letter and spirit of the constitution, are constitutional</w:t>
      </w:r>
      <w:r w:rsidR="00414711" w:rsidRPr="002D0EB0">
        <w:rPr>
          <w:rFonts w:ascii="Times New Roman" w:hAnsi="Times New Roman" w:cs="Times New Roman"/>
          <w:sz w:val="24"/>
          <w:szCs w:val="24"/>
        </w:rPr>
        <w:t xml:space="preserve"> </w:t>
      </w:r>
      <w:sdt>
        <w:sdtPr>
          <w:rPr>
            <w:rFonts w:ascii="Times New Roman" w:hAnsi="Times New Roman" w:cs="Times New Roman"/>
            <w:sz w:val="24"/>
            <w:szCs w:val="24"/>
          </w:rPr>
          <w:id w:val="65649861"/>
          <w:citation/>
        </w:sdtPr>
        <w:sdtContent>
          <w:r w:rsidR="00414711" w:rsidRPr="002D0EB0">
            <w:rPr>
              <w:rFonts w:ascii="Times New Roman" w:hAnsi="Times New Roman" w:cs="Times New Roman"/>
              <w:sz w:val="24"/>
              <w:szCs w:val="24"/>
            </w:rPr>
            <w:fldChar w:fldCharType="begin"/>
          </w:r>
          <w:r w:rsidR="00414711" w:rsidRPr="002D0EB0">
            <w:rPr>
              <w:rFonts w:ascii="Times New Roman" w:hAnsi="Times New Roman" w:cs="Times New Roman"/>
              <w:sz w:val="24"/>
              <w:szCs w:val="24"/>
            </w:rPr>
            <w:instrText xml:space="preserve"> CITATION Bil19 \l 1033 </w:instrText>
          </w:r>
          <w:r w:rsidR="00414711" w:rsidRPr="002D0EB0">
            <w:rPr>
              <w:rFonts w:ascii="Times New Roman" w:hAnsi="Times New Roman" w:cs="Times New Roman"/>
              <w:sz w:val="24"/>
              <w:szCs w:val="24"/>
            </w:rPr>
            <w:fldChar w:fldCharType="separate"/>
          </w:r>
          <w:r w:rsidR="00414711" w:rsidRPr="002D0EB0">
            <w:rPr>
              <w:rFonts w:ascii="Times New Roman" w:hAnsi="Times New Roman" w:cs="Times New Roman"/>
              <w:noProof/>
              <w:sz w:val="24"/>
              <w:szCs w:val="24"/>
            </w:rPr>
            <w:t>(Bill of Rights Institute)</w:t>
          </w:r>
          <w:r w:rsidR="00414711" w:rsidRPr="002D0EB0">
            <w:rPr>
              <w:rFonts w:ascii="Times New Roman" w:hAnsi="Times New Roman" w:cs="Times New Roman"/>
              <w:sz w:val="24"/>
              <w:szCs w:val="24"/>
            </w:rPr>
            <w:fldChar w:fldCharType="end"/>
          </w:r>
        </w:sdtContent>
      </w:sdt>
      <w:sdt>
        <w:sdtPr>
          <w:rPr>
            <w:rFonts w:ascii="Times New Roman" w:hAnsi="Times New Roman" w:cs="Times New Roman"/>
            <w:sz w:val="24"/>
            <w:szCs w:val="24"/>
          </w:rPr>
          <w:id w:val="65649862"/>
          <w:citation/>
        </w:sdtPr>
        <w:sdtContent>
          <w:r w:rsidR="00414711" w:rsidRPr="002D0EB0">
            <w:rPr>
              <w:rFonts w:ascii="Times New Roman" w:hAnsi="Times New Roman" w:cs="Times New Roman"/>
              <w:sz w:val="24"/>
              <w:szCs w:val="24"/>
            </w:rPr>
            <w:fldChar w:fldCharType="begin"/>
          </w:r>
          <w:r w:rsidR="00414711" w:rsidRPr="002D0EB0">
            <w:rPr>
              <w:rFonts w:ascii="Times New Roman" w:hAnsi="Times New Roman" w:cs="Times New Roman"/>
              <w:sz w:val="24"/>
              <w:szCs w:val="24"/>
            </w:rPr>
            <w:instrText xml:space="preserve"> CITATION McC191 \l 1033 </w:instrText>
          </w:r>
          <w:r w:rsidR="00414711" w:rsidRPr="002D0EB0">
            <w:rPr>
              <w:rFonts w:ascii="Times New Roman" w:hAnsi="Times New Roman" w:cs="Times New Roman"/>
              <w:sz w:val="24"/>
              <w:szCs w:val="24"/>
            </w:rPr>
            <w:fldChar w:fldCharType="separate"/>
          </w:r>
          <w:r w:rsidR="00414711" w:rsidRPr="002D0EB0">
            <w:rPr>
              <w:rFonts w:ascii="Times New Roman" w:hAnsi="Times New Roman" w:cs="Times New Roman"/>
              <w:noProof/>
              <w:sz w:val="24"/>
              <w:szCs w:val="24"/>
            </w:rPr>
            <w:t xml:space="preserve"> (McCulloch v. State of Maryland, 1819)</w:t>
          </w:r>
          <w:r w:rsidR="00414711" w:rsidRPr="002D0EB0">
            <w:rPr>
              <w:rFonts w:ascii="Times New Roman" w:hAnsi="Times New Roman" w:cs="Times New Roman"/>
              <w:sz w:val="24"/>
              <w:szCs w:val="24"/>
            </w:rPr>
            <w:fldChar w:fldCharType="end"/>
          </w:r>
        </w:sdtContent>
      </w:sdt>
      <w:r w:rsidR="005C3F27" w:rsidRPr="002D0EB0">
        <w:rPr>
          <w:rFonts w:ascii="Times New Roman" w:hAnsi="Times New Roman" w:cs="Times New Roman"/>
          <w:sz w:val="24"/>
          <w:szCs w:val="24"/>
        </w:rPr>
        <w:t xml:space="preserve">. </w:t>
      </w:r>
    </w:p>
    <w:p w:rsidR="00414711" w:rsidRPr="002D0EB0" w:rsidRDefault="00ED7DF5" w:rsidP="002D0EB0">
      <w:pPr>
        <w:spacing w:line="480" w:lineRule="auto"/>
        <w:ind w:firstLine="720"/>
        <w:rPr>
          <w:rFonts w:ascii="Times New Roman" w:hAnsi="Times New Roman" w:cs="Times New Roman"/>
          <w:sz w:val="24"/>
          <w:szCs w:val="24"/>
        </w:rPr>
      </w:pPr>
      <w:r w:rsidRPr="002D0EB0">
        <w:rPr>
          <w:rFonts w:ascii="Times New Roman" w:hAnsi="Times New Roman" w:cs="Times New Roman"/>
          <w:sz w:val="24"/>
          <w:szCs w:val="24"/>
        </w:rPr>
        <w:t xml:space="preserve">The second question posed by the case was whether the Maryland law unconstitutionally interfered with congressional powers. </w:t>
      </w:r>
      <w:r w:rsidR="005C3F27" w:rsidRPr="002D0EB0">
        <w:rPr>
          <w:rFonts w:ascii="Times New Roman" w:hAnsi="Times New Roman" w:cs="Times New Roman"/>
          <w:sz w:val="24"/>
          <w:szCs w:val="24"/>
        </w:rPr>
        <w:t xml:space="preserve">The answer to this referred to Article VI of the constitution. The article stipulated that the power to tax involves the power to destroy. It then reiterated that if the states may tax one instrument, employed by the federal government in the execution of its powers, they may tax any and every other instrument. The situation would make the federal government dependent on the states, and this was not intended for the American people. </w:t>
      </w:r>
      <w:r w:rsidR="00414711" w:rsidRPr="002D0EB0">
        <w:rPr>
          <w:rFonts w:ascii="Times New Roman" w:hAnsi="Times New Roman" w:cs="Times New Roman"/>
          <w:sz w:val="24"/>
          <w:szCs w:val="24"/>
        </w:rPr>
        <w:t>The rationality thus made it clear that Maryland had no authority to tax the bank, and in doing so interfered with congressional powers. The case thus asserted national supremacy vis-à-</w:t>
      </w:r>
      <w:r w:rsidR="00414711" w:rsidRPr="002D0EB0">
        <w:rPr>
          <w:rFonts w:ascii="Times New Roman" w:hAnsi="Times New Roman" w:cs="Times New Roman"/>
          <w:sz w:val="24"/>
          <w:szCs w:val="24"/>
        </w:rPr>
        <w:lastRenderedPageBreak/>
        <w:t xml:space="preserve">vis state action </w:t>
      </w:r>
      <w:sdt>
        <w:sdtPr>
          <w:rPr>
            <w:rFonts w:ascii="Times New Roman" w:hAnsi="Times New Roman" w:cs="Times New Roman"/>
            <w:sz w:val="24"/>
            <w:szCs w:val="24"/>
          </w:rPr>
          <w:id w:val="65649860"/>
          <w:citation/>
        </w:sdtPr>
        <w:sdtContent>
          <w:r w:rsidR="00414711" w:rsidRPr="002D0EB0">
            <w:rPr>
              <w:rFonts w:ascii="Times New Roman" w:hAnsi="Times New Roman" w:cs="Times New Roman"/>
              <w:sz w:val="24"/>
              <w:szCs w:val="24"/>
            </w:rPr>
            <w:fldChar w:fldCharType="begin"/>
          </w:r>
          <w:r w:rsidR="00414711" w:rsidRPr="002D0EB0">
            <w:rPr>
              <w:rFonts w:ascii="Times New Roman" w:hAnsi="Times New Roman" w:cs="Times New Roman"/>
              <w:sz w:val="24"/>
              <w:szCs w:val="24"/>
            </w:rPr>
            <w:instrText xml:space="preserve"> CITATION Oye191 \l 1033 </w:instrText>
          </w:r>
          <w:r w:rsidR="00414711" w:rsidRPr="002D0EB0">
            <w:rPr>
              <w:rFonts w:ascii="Times New Roman" w:hAnsi="Times New Roman" w:cs="Times New Roman"/>
              <w:sz w:val="24"/>
              <w:szCs w:val="24"/>
            </w:rPr>
            <w:fldChar w:fldCharType="separate"/>
          </w:r>
          <w:r w:rsidR="00414711" w:rsidRPr="002D0EB0">
            <w:rPr>
              <w:rFonts w:ascii="Times New Roman" w:hAnsi="Times New Roman" w:cs="Times New Roman"/>
              <w:noProof/>
              <w:sz w:val="24"/>
              <w:szCs w:val="24"/>
            </w:rPr>
            <w:t>(Oyez)</w:t>
          </w:r>
          <w:r w:rsidR="00414711" w:rsidRPr="002D0EB0">
            <w:rPr>
              <w:rFonts w:ascii="Times New Roman" w:hAnsi="Times New Roman" w:cs="Times New Roman"/>
              <w:sz w:val="24"/>
              <w:szCs w:val="24"/>
            </w:rPr>
            <w:fldChar w:fldCharType="end"/>
          </w:r>
        </w:sdtContent>
      </w:sdt>
      <w:r w:rsidR="00414711" w:rsidRPr="002D0EB0">
        <w:rPr>
          <w:rFonts w:ascii="Times New Roman" w:hAnsi="Times New Roman" w:cs="Times New Roman"/>
          <w:sz w:val="24"/>
          <w:szCs w:val="24"/>
        </w:rPr>
        <w:t xml:space="preserve">. The national government had supreme authority in the law of the land, with contrary statutory laws </w:t>
      </w:r>
      <w:proofErr w:type="spellStart"/>
      <w:r w:rsidR="00414711" w:rsidRPr="002D0EB0">
        <w:rPr>
          <w:rFonts w:ascii="Times New Roman" w:hAnsi="Times New Roman" w:cs="Times New Roman"/>
          <w:sz w:val="24"/>
          <w:szCs w:val="24"/>
        </w:rPr>
        <w:t>not withstanding</w:t>
      </w:r>
      <w:proofErr w:type="spellEnd"/>
      <w:r w:rsidR="00414711" w:rsidRPr="002D0EB0">
        <w:rPr>
          <w:rFonts w:ascii="Times New Roman" w:hAnsi="Times New Roman" w:cs="Times New Roman"/>
          <w:sz w:val="24"/>
          <w:szCs w:val="24"/>
        </w:rPr>
        <w:t xml:space="preserve">. </w:t>
      </w:r>
    </w:p>
    <w:p w:rsidR="00414711" w:rsidRPr="002D0EB0" w:rsidRDefault="00414711" w:rsidP="002D0EB0">
      <w:pPr>
        <w:spacing w:line="480" w:lineRule="auto"/>
        <w:rPr>
          <w:rFonts w:ascii="Times New Roman" w:hAnsi="Times New Roman" w:cs="Times New Roman"/>
          <w:sz w:val="24"/>
          <w:szCs w:val="24"/>
        </w:rPr>
      </w:pPr>
      <w:r w:rsidRPr="002D0EB0">
        <w:rPr>
          <w:rFonts w:ascii="Times New Roman" w:hAnsi="Times New Roman" w:cs="Times New Roman"/>
          <w:sz w:val="24"/>
          <w:szCs w:val="24"/>
        </w:rPr>
        <w:t>Question 2</w:t>
      </w:r>
    </w:p>
    <w:p w:rsidR="00414711" w:rsidRPr="002D0EB0" w:rsidRDefault="00BE4D21" w:rsidP="002D0EB0">
      <w:pPr>
        <w:spacing w:line="480" w:lineRule="auto"/>
        <w:ind w:firstLine="720"/>
        <w:rPr>
          <w:rFonts w:ascii="Times New Roman" w:hAnsi="Times New Roman" w:cs="Times New Roman"/>
          <w:sz w:val="24"/>
          <w:szCs w:val="24"/>
        </w:rPr>
      </w:pPr>
      <w:r w:rsidRPr="002D0EB0">
        <w:rPr>
          <w:rFonts w:ascii="Times New Roman" w:hAnsi="Times New Roman" w:cs="Times New Roman"/>
          <w:sz w:val="24"/>
          <w:szCs w:val="24"/>
        </w:rPr>
        <w:t>The United States has had a long decline in voter turnout. One electoral procedure that would significantly improve the turnout for voters is online registration. The strategy makes all information relevant to voting online in platforms readily relatable to the public</w:t>
      </w:r>
      <w:r w:rsidR="000B47AF" w:rsidRPr="002D0EB0">
        <w:rPr>
          <w:rFonts w:ascii="Times New Roman" w:hAnsi="Times New Roman" w:cs="Times New Roman"/>
          <w:sz w:val="24"/>
          <w:szCs w:val="24"/>
        </w:rPr>
        <w:t xml:space="preserve"> </w:t>
      </w:r>
      <w:sdt>
        <w:sdtPr>
          <w:rPr>
            <w:rFonts w:ascii="Times New Roman" w:hAnsi="Times New Roman" w:cs="Times New Roman"/>
            <w:sz w:val="24"/>
            <w:szCs w:val="24"/>
          </w:rPr>
          <w:id w:val="65649866"/>
          <w:citation/>
        </w:sdtPr>
        <w:sdtContent>
          <w:r w:rsidR="000B47AF" w:rsidRPr="002D0EB0">
            <w:rPr>
              <w:rFonts w:ascii="Times New Roman" w:hAnsi="Times New Roman" w:cs="Times New Roman"/>
              <w:sz w:val="24"/>
              <w:szCs w:val="24"/>
            </w:rPr>
            <w:fldChar w:fldCharType="begin"/>
          </w:r>
          <w:r w:rsidR="000B47AF" w:rsidRPr="002D0EB0">
            <w:rPr>
              <w:rFonts w:ascii="Times New Roman" w:hAnsi="Times New Roman" w:cs="Times New Roman"/>
              <w:sz w:val="24"/>
              <w:szCs w:val="24"/>
            </w:rPr>
            <w:instrText xml:space="preserve"> CITATION Lem18 \l 1033 </w:instrText>
          </w:r>
          <w:r w:rsidR="000B47AF" w:rsidRPr="002D0EB0">
            <w:rPr>
              <w:rFonts w:ascii="Times New Roman" w:hAnsi="Times New Roman" w:cs="Times New Roman"/>
              <w:sz w:val="24"/>
              <w:szCs w:val="24"/>
            </w:rPr>
            <w:fldChar w:fldCharType="separate"/>
          </w:r>
          <w:r w:rsidR="000B47AF" w:rsidRPr="002D0EB0">
            <w:rPr>
              <w:rFonts w:ascii="Times New Roman" w:hAnsi="Times New Roman" w:cs="Times New Roman"/>
              <w:noProof/>
              <w:sz w:val="24"/>
              <w:szCs w:val="24"/>
            </w:rPr>
            <w:t>(Lemzy, 2018)</w:t>
          </w:r>
          <w:r w:rsidR="000B47AF" w:rsidRPr="002D0EB0">
            <w:rPr>
              <w:rFonts w:ascii="Times New Roman" w:hAnsi="Times New Roman" w:cs="Times New Roman"/>
              <w:sz w:val="24"/>
              <w:szCs w:val="24"/>
            </w:rPr>
            <w:fldChar w:fldCharType="end"/>
          </w:r>
        </w:sdtContent>
      </w:sdt>
      <w:r w:rsidRPr="002D0EB0">
        <w:rPr>
          <w:rFonts w:ascii="Times New Roman" w:hAnsi="Times New Roman" w:cs="Times New Roman"/>
          <w:sz w:val="24"/>
          <w:szCs w:val="24"/>
        </w:rPr>
        <w:t xml:space="preserve">. The youth, particularly first time participants do not know what to do and how the process works, the strategy helps the group and also addresses the woes of citizens who move into new statutory jurisdiction with different regulations. </w:t>
      </w:r>
    </w:p>
    <w:p w:rsidR="00BE4D21" w:rsidRPr="002D0EB0" w:rsidRDefault="00BE4D21" w:rsidP="002D0EB0">
      <w:pPr>
        <w:spacing w:line="480" w:lineRule="auto"/>
        <w:ind w:firstLine="720"/>
        <w:rPr>
          <w:rFonts w:ascii="Times New Roman" w:hAnsi="Times New Roman" w:cs="Times New Roman"/>
          <w:sz w:val="24"/>
          <w:szCs w:val="24"/>
        </w:rPr>
      </w:pPr>
      <w:r w:rsidRPr="002D0EB0">
        <w:rPr>
          <w:rFonts w:ascii="Times New Roman" w:hAnsi="Times New Roman" w:cs="Times New Roman"/>
          <w:sz w:val="24"/>
          <w:szCs w:val="24"/>
        </w:rPr>
        <w:t xml:space="preserve">A targeted approach for the African American community, and to a point the youth, is canvassing. The strategy involves paid canvassers or volunteers who spread the information about the election with the </w:t>
      </w:r>
      <w:r w:rsidR="008F5D66" w:rsidRPr="002D0EB0">
        <w:rPr>
          <w:rFonts w:ascii="Times New Roman" w:hAnsi="Times New Roman" w:cs="Times New Roman"/>
          <w:sz w:val="24"/>
          <w:szCs w:val="24"/>
        </w:rPr>
        <w:t xml:space="preserve">hopes of gaining traction towards voting. The candidates involved could make use of door to door, approaching people on the streets, or setting up temporary stations. Root and Kennedy detailed a study that found the African American population voter turnout increased after </w:t>
      </w:r>
      <w:r w:rsidR="000B47AF" w:rsidRPr="002D0EB0">
        <w:rPr>
          <w:rFonts w:ascii="Times New Roman" w:hAnsi="Times New Roman" w:cs="Times New Roman"/>
          <w:sz w:val="24"/>
          <w:szCs w:val="24"/>
        </w:rPr>
        <w:t xml:space="preserve">implementation of canvassing because of contact </w:t>
      </w:r>
      <w:sdt>
        <w:sdtPr>
          <w:rPr>
            <w:rFonts w:ascii="Times New Roman" w:hAnsi="Times New Roman" w:cs="Times New Roman"/>
            <w:sz w:val="24"/>
            <w:szCs w:val="24"/>
          </w:rPr>
          <w:id w:val="65649865"/>
          <w:citation/>
        </w:sdtPr>
        <w:sdtContent>
          <w:r w:rsidR="000B47AF" w:rsidRPr="002D0EB0">
            <w:rPr>
              <w:rFonts w:ascii="Times New Roman" w:hAnsi="Times New Roman" w:cs="Times New Roman"/>
              <w:sz w:val="24"/>
              <w:szCs w:val="24"/>
            </w:rPr>
            <w:fldChar w:fldCharType="begin"/>
          </w:r>
          <w:r w:rsidR="000B47AF" w:rsidRPr="002D0EB0">
            <w:rPr>
              <w:rFonts w:ascii="Times New Roman" w:hAnsi="Times New Roman" w:cs="Times New Roman"/>
              <w:sz w:val="24"/>
              <w:szCs w:val="24"/>
            </w:rPr>
            <w:instrText xml:space="preserve"> CITATION Roo18 \l 1033 </w:instrText>
          </w:r>
          <w:r w:rsidR="000B47AF" w:rsidRPr="002D0EB0">
            <w:rPr>
              <w:rFonts w:ascii="Times New Roman" w:hAnsi="Times New Roman" w:cs="Times New Roman"/>
              <w:sz w:val="24"/>
              <w:szCs w:val="24"/>
            </w:rPr>
            <w:fldChar w:fldCharType="separate"/>
          </w:r>
          <w:r w:rsidR="000B47AF" w:rsidRPr="002D0EB0">
            <w:rPr>
              <w:rFonts w:ascii="Times New Roman" w:hAnsi="Times New Roman" w:cs="Times New Roman"/>
              <w:noProof/>
              <w:sz w:val="24"/>
              <w:szCs w:val="24"/>
            </w:rPr>
            <w:t>(Root &amp; Kennedy, 2018)</w:t>
          </w:r>
          <w:r w:rsidR="000B47AF" w:rsidRPr="002D0EB0">
            <w:rPr>
              <w:rFonts w:ascii="Times New Roman" w:hAnsi="Times New Roman" w:cs="Times New Roman"/>
              <w:sz w:val="24"/>
              <w:szCs w:val="24"/>
            </w:rPr>
            <w:fldChar w:fldCharType="end"/>
          </w:r>
        </w:sdtContent>
      </w:sdt>
      <w:r w:rsidR="000B47AF" w:rsidRPr="002D0EB0">
        <w:rPr>
          <w:rFonts w:ascii="Times New Roman" w:hAnsi="Times New Roman" w:cs="Times New Roman"/>
          <w:sz w:val="24"/>
          <w:szCs w:val="24"/>
        </w:rPr>
        <w:t xml:space="preserve">. </w:t>
      </w:r>
    </w:p>
    <w:p w:rsidR="000B47AF" w:rsidRPr="002D0EB0" w:rsidRDefault="002D0EB0" w:rsidP="002D0EB0">
      <w:pPr>
        <w:spacing w:line="480" w:lineRule="auto"/>
        <w:ind w:firstLine="720"/>
        <w:rPr>
          <w:rFonts w:ascii="Times New Roman" w:hAnsi="Times New Roman" w:cs="Times New Roman"/>
          <w:sz w:val="24"/>
          <w:szCs w:val="24"/>
        </w:rPr>
      </w:pPr>
      <w:r w:rsidRPr="002D0EB0">
        <w:rPr>
          <w:rFonts w:ascii="Times New Roman" w:hAnsi="Times New Roman" w:cs="Times New Roman"/>
          <w:sz w:val="24"/>
          <w:szCs w:val="24"/>
        </w:rPr>
        <w:t xml:space="preserve">The legal framework to opt for in increasing voter turnout is eliminating the influence of ex-offender disfranchisement laws. In twenty one states, prisoners serving a sentence are not allowed to cast votes. There are also states that revoke the right to suffrage for former inmates who finished serving their sentence. The prison system holds a large quantity of American citizens, and including them into any strategy to increase voter turnout would bring in more than six million participants. </w:t>
      </w:r>
    </w:p>
    <w:p w:rsidR="00D22D44" w:rsidRPr="002D0EB0" w:rsidRDefault="00D22D44" w:rsidP="002D0EB0">
      <w:pPr>
        <w:spacing w:line="480" w:lineRule="auto"/>
        <w:rPr>
          <w:rFonts w:ascii="Times New Roman" w:hAnsi="Times New Roman" w:cs="Times New Roman"/>
          <w:sz w:val="24"/>
          <w:szCs w:val="24"/>
        </w:rPr>
      </w:pPr>
      <w:r w:rsidRPr="002D0EB0">
        <w:rPr>
          <w:rFonts w:ascii="Times New Roman" w:hAnsi="Times New Roman" w:cs="Times New Roman"/>
          <w:sz w:val="24"/>
          <w:szCs w:val="24"/>
        </w:rPr>
        <w:lastRenderedPageBreak/>
        <w:t>Question 3</w:t>
      </w:r>
    </w:p>
    <w:p w:rsidR="00D22D44" w:rsidRPr="002D0EB0" w:rsidRDefault="00D22D44" w:rsidP="002D0EB0">
      <w:pPr>
        <w:spacing w:line="480" w:lineRule="auto"/>
        <w:ind w:firstLine="720"/>
        <w:rPr>
          <w:rFonts w:ascii="Times New Roman" w:hAnsi="Times New Roman" w:cs="Times New Roman"/>
          <w:sz w:val="24"/>
          <w:szCs w:val="24"/>
        </w:rPr>
      </w:pPr>
      <w:r w:rsidRPr="002D0EB0">
        <w:rPr>
          <w:rFonts w:ascii="Times New Roman" w:hAnsi="Times New Roman" w:cs="Times New Roman"/>
          <w:sz w:val="24"/>
          <w:szCs w:val="24"/>
        </w:rPr>
        <w:t xml:space="preserve">In the pursuit of their causes, interest groups are prone to turn to litigations. The process of bringing a lawsuit in the matter is more often a calculated step, and normally involves them suing the groups or persons they oppose. The groups normally have alliances or collaboration with lawyers who advise them on how best to deal with the issues presented. The interest for the attorneys involved is the constitutional principles the litigation process presents. Opting for litigation, however, requires assessment of several intra-organizational factors </w:t>
      </w:r>
      <w:sdt>
        <w:sdtPr>
          <w:rPr>
            <w:rFonts w:ascii="Times New Roman" w:hAnsi="Times New Roman" w:cs="Times New Roman"/>
            <w:sz w:val="24"/>
            <w:szCs w:val="24"/>
          </w:rPr>
          <w:id w:val="65649863"/>
          <w:citation/>
        </w:sdtPr>
        <w:sdtContent>
          <w:r w:rsidRPr="002D0EB0">
            <w:rPr>
              <w:rFonts w:ascii="Times New Roman" w:hAnsi="Times New Roman" w:cs="Times New Roman"/>
              <w:sz w:val="24"/>
              <w:szCs w:val="24"/>
            </w:rPr>
            <w:fldChar w:fldCharType="begin"/>
          </w:r>
          <w:r w:rsidRPr="002D0EB0">
            <w:rPr>
              <w:rFonts w:ascii="Times New Roman" w:hAnsi="Times New Roman" w:cs="Times New Roman"/>
              <w:sz w:val="24"/>
              <w:szCs w:val="24"/>
            </w:rPr>
            <w:instrText xml:space="preserve"> CITATION Was10 \l 1033 </w:instrText>
          </w:r>
          <w:r w:rsidRPr="002D0EB0">
            <w:rPr>
              <w:rFonts w:ascii="Times New Roman" w:hAnsi="Times New Roman" w:cs="Times New Roman"/>
              <w:sz w:val="24"/>
              <w:szCs w:val="24"/>
            </w:rPr>
            <w:fldChar w:fldCharType="separate"/>
          </w:r>
          <w:r w:rsidRPr="002D0EB0">
            <w:rPr>
              <w:rFonts w:ascii="Times New Roman" w:hAnsi="Times New Roman" w:cs="Times New Roman"/>
              <w:noProof/>
              <w:sz w:val="24"/>
              <w:szCs w:val="24"/>
            </w:rPr>
            <w:t>(Wasby, 2010)</w:t>
          </w:r>
          <w:r w:rsidRPr="002D0EB0">
            <w:rPr>
              <w:rFonts w:ascii="Times New Roman" w:hAnsi="Times New Roman" w:cs="Times New Roman"/>
              <w:sz w:val="24"/>
              <w:szCs w:val="24"/>
            </w:rPr>
            <w:fldChar w:fldCharType="end"/>
          </w:r>
        </w:sdtContent>
      </w:sdt>
      <w:r w:rsidRPr="002D0EB0">
        <w:rPr>
          <w:rFonts w:ascii="Times New Roman" w:hAnsi="Times New Roman" w:cs="Times New Roman"/>
          <w:sz w:val="24"/>
          <w:szCs w:val="24"/>
        </w:rPr>
        <w:t xml:space="preserve">. Most significant external influence that could impact the litigation process from interest groups is the political environment during and before the process. A critical example is the movement of NAACP against segregation culminating in a Supreme Court case of Brown v Board of Education from 1954. </w:t>
      </w:r>
    </w:p>
    <w:p w:rsidR="00B01CC5" w:rsidRPr="002D0EB0" w:rsidRDefault="00062ECC" w:rsidP="002D0EB0">
      <w:pPr>
        <w:spacing w:line="480" w:lineRule="auto"/>
        <w:ind w:firstLine="720"/>
        <w:rPr>
          <w:rFonts w:ascii="Times New Roman" w:hAnsi="Times New Roman" w:cs="Times New Roman"/>
          <w:sz w:val="24"/>
          <w:szCs w:val="24"/>
        </w:rPr>
      </w:pPr>
      <w:r w:rsidRPr="002D0EB0">
        <w:rPr>
          <w:rFonts w:ascii="Times New Roman" w:hAnsi="Times New Roman" w:cs="Times New Roman"/>
          <w:sz w:val="24"/>
          <w:szCs w:val="24"/>
        </w:rPr>
        <w:t xml:space="preserve">Interest groups have a singular cause of purpose, and in multiple scenarios, the cause involves or requires influence in the government. PACs offers the groups a chance to collect money and provide financial support for political candidates who share the same interest and goals. </w:t>
      </w:r>
      <w:r w:rsidR="00890C93" w:rsidRPr="002D0EB0">
        <w:rPr>
          <w:rFonts w:ascii="Times New Roman" w:hAnsi="Times New Roman" w:cs="Times New Roman"/>
          <w:sz w:val="24"/>
          <w:szCs w:val="24"/>
        </w:rPr>
        <w:t xml:space="preserve">The type of PCS and registration adapted to the Federal Election Commission contains regulations that govern the PACS on how to source for funds and the jurisdiction of influence within the political arena. </w:t>
      </w:r>
      <w:r w:rsidRPr="002D0EB0">
        <w:rPr>
          <w:rFonts w:ascii="Times New Roman" w:hAnsi="Times New Roman" w:cs="Times New Roman"/>
          <w:sz w:val="24"/>
          <w:szCs w:val="24"/>
        </w:rPr>
        <w:t xml:space="preserve">One particular interest group </w:t>
      </w:r>
      <w:r w:rsidR="00890C93" w:rsidRPr="002D0EB0">
        <w:rPr>
          <w:rFonts w:ascii="Times New Roman" w:hAnsi="Times New Roman" w:cs="Times New Roman"/>
          <w:sz w:val="24"/>
          <w:szCs w:val="24"/>
        </w:rPr>
        <w:t xml:space="preserve">is the National of Islam. The group collaborates with the American Muslim Alliance PAC to influence the American Muslim community. The strategies adopted include innovation, determination, initiative and number representation in parliament. </w:t>
      </w:r>
    </w:p>
    <w:p w:rsidR="00F15EF4" w:rsidRPr="002D0EB0" w:rsidRDefault="00E90DB2" w:rsidP="002D0EB0">
      <w:pPr>
        <w:spacing w:line="480" w:lineRule="auto"/>
        <w:ind w:firstLine="720"/>
        <w:rPr>
          <w:rFonts w:ascii="Times New Roman" w:hAnsi="Times New Roman" w:cs="Times New Roman"/>
          <w:sz w:val="24"/>
          <w:szCs w:val="24"/>
        </w:rPr>
      </w:pPr>
      <w:r w:rsidRPr="002D0EB0">
        <w:rPr>
          <w:rFonts w:ascii="Times New Roman" w:hAnsi="Times New Roman" w:cs="Times New Roman"/>
          <w:sz w:val="24"/>
          <w:szCs w:val="24"/>
        </w:rPr>
        <w:t xml:space="preserve">Since the intent of interest groups is realization of national and political objectives and goals, they may resort to lobbying. The strategy involved makes use on pressure on the policy </w:t>
      </w:r>
      <w:r w:rsidRPr="002D0EB0">
        <w:rPr>
          <w:rFonts w:ascii="Times New Roman" w:hAnsi="Times New Roman" w:cs="Times New Roman"/>
          <w:sz w:val="24"/>
          <w:szCs w:val="24"/>
        </w:rPr>
        <w:lastRenderedPageBreak/>
        <w:t xml:space="preserve">makers hoping to acquire favorable policy outcomes. The nature of the political system and government set limitations on strategies that interest groups can adopt. A critical example is the efforts taken by the </w:t>
      </w:r>
      <w:proofErr w:type="spellStart"/>
      <w:r w:rsidRPr="002D0EB0">
        <w:rPr>
          <w:rFonts w:ascii="Times New Roman" w:hAnsi="Times New Roman" w:cs="Times New Roman"/>
          <w:sz w:val="24"/>
          <w:szCs w:val="24"/>
        </w:rPr>
        <w:t>AntiDefamation</w:t>
      </w:r>
      <w:proofErr w:type="spellEnd"/>
      <w:r w:rsidRPr="002D0EB0">
        <w:rPr>
          <w:rFonts w:ascii="Times New Roman" w:hAnsi="Times New Roman" w:cs="Times New Roman"/>
          <w:sz w:val="24"/>
          <w:szCs w:val="24"/>
        </w:rPr>
        <w:t xml:space="preserve"> league to stop any and all attempts at anti-</w:t>
      </w:r>
      <w:proofErr w:type="spellStart"/>
      <w:r w:rsidRPr="002D0EB0">
        <w:rPr>
          <w:rFonts w:ascii="Times New Roman" w:hAnsi="Times New Roman" w:cs="Times New Roman"/>
          <w:sz w:val="24"/>
          <w:szCs w:val="24"/>
        </w:rPr>
        <w:t>semitism</w:t>
      </w:r>
      <w:proofErr w:type="spellEnd"/>
      <w:r w:rsidRPr="002D0EB0">
        <w:rPr>
          <w:rFonts w:ascii="Times New Roman" w:hAnsi="Times New Roman" w:cs="Times New Roman"/>
          <w:sz w:val="24"/>
          <w:szCs w:val="24"/>
        </w:rPr>
        <w:t xml:space="preserve"> on both online platforms and in the society. </w:t>
      </w:r>
    </w:p>
    <w:p w:rsidR="00E90DB2" w:rsidRPr="002D0EB0" w:rsidRDefault="00E90DB2" w:rsidP="002D0EB0">
      <w:pPr>
        <w:spacing w:line="480" w:lineRule="auto"/>
        <w:rPr>
          <w:rFonts w:ascii="Times New Roman" w:hAnsi="Times New Roman" w:cs="Times New Roman"/>
          <w:sz w:val="24"/>
          <w:szCs w:val="24"/>
        </w:rPr>
      </w:pPr>
      <w:r w:rsidRPr="002D0EB0">
        <w:rPr>
          <w:rFonts w:ascii="Times New Roman" w:hAnsi="Times New Roman" w:cs="Times New Roman"/>
          <w:sz w:val="24"/>
          <w:szCs w:val="24"/>
        </w:rPr>
        <w:t>Question 4</w:t>
      </w:r>
    </w:p>
    <w:p w:rsidR="00E90DB2" w:rsidRPr="002D0EB0" w:rsidRDefault="009C24B8" w:rsidP="002D0EB0">
      <w:pPr>
        <w:spacing w:line="480" w:lineRule="auto"/>
        <w:ind w:firstLine="720"/>
        <w:rPr>
          <w:rFonts w:ascii="Times New Roman" w:hAnsi="Times New Roman" w:cs="Times New Roman"/>
          <w:sz w:val="24"/>
          <w:szCs w:val="24"/>
        </w:rPr>
      </w:pPr>
      <w:r w:rsidRPr="002D0EB0">
        <w:rPr>
          <w:rFonts w:ascii="Times New Roman" w:hAnsi="Times New Roman" w:cs="Times New Roman"/>
          <w:sz w:val="24"/>
          <w:szCs w:val="24"/>
        </w:rPr>
        <w:t xml:space="preserve">The media serves at an influential level, with functions very relevant to the citizens. The stature is more so in the political arena where they serve three major roles. The first is holding the government accountable to the people for their actions. In a hypothetical case scenario where the government </w:t>
      </w:r>
      <w:r w:rsidR="00B66F06" w:rsidRPr="002D0EB0">
        <w:rPr>
          <w:rFonts w:ascii="Times New Roman" w:hAnsi="Times New Roman" w:cs="Times New Roman"/>
          <w:sz w:val="24"/>
          <w:szCs w:val="24"/>
        </w:rPr>
        <w:t>actions led to either a national or ethical scandal</w:t>
      </w:r>
      <w:r w:rsidRPr="002D0EB0">
        <w:rPr>
          <w:rFonts w:ascii="Times New Roman" w:hAnsi="Times New Roman" w:cs="Times New Roman"/>
          <w:sz w:val="24"/>
          <w:szCs w:val="24"/>
        </w:rPr>
        <w:t xml:space="preserve">, the media shines the light </w:t>
      </w:r>
      <w:r w:rsidR="00B66F06" w:rsidRPr="002D0EB0">
        <w:rPr>
          <w:rFonts w:ascii="Times New Roman" w:hAnsi="Times New Roman" w:cs="Times New Roman"/>
          <w:sz w:val="24"/>
          <w:szCs w:val="24"/>
        </w:rPr>
        <w:t xml:space="preserve">in detail </w:t>
      </w:r>
      <w:r w:rsidRPr="002D0EB0">
        <w:rPr>
          <w:rFonts w:ascii="Times New Roman" w:hAnsi="Times New Roman" w:cs="Times New Roman"/>
          <w:sz w:val="24"/>
          <w:szCs w:val="24"/>
        </w:rPr>
        <w:t xml:space="preserve">on the fine point of the </w:t>
      </w:r>
      <w:r w:rsidR="00B66F06" w:rsidRPr="002D0EB0">
        <w:rPr>
          <w:rFonts w:ascii="Times New Roman" w:hAnsi="Times New Roman" w:cs="Times New Roman"/>
          <w:sz w:val="24"/>
          <w:szCs w:val="24"/>
        </w:rPr>
        <w:t>sequence of events</w:t>
      </w:r>
      <w:r w:rsidRPr="002D0EB0">
        <w:rPr>
          <w:rFonts w:ascii="Times New Roman" w:hAnsi="Times New Roman" w:cs="Times New Roman"/>
          <w:sz w:val="24"/>
          <w:szCs w:val="24"/>
        </w:rPr>
        <w:t xml:space="preserve">. </w:t>
      </w:r>
      <w:r w:rsidR="00B66F06" w:rsidRPr="002D0EB0">
        <w:rPr>
          <w:rFonts w:ascii="Times New Roman" w:hAnsi="Times New Roman" w:cs="Times New Roman"/>
          <w:sz w:val="24"/>
          <w:szCs w:val="24"/>
        </w:rPr>
        <w:t xml:space="preserve">The information provided </w:t>
      </w:r>
      <w:proofErr w:type="spellStart"/>
      <w:proofErr w:type="gramStart"/>
      <w:r w:rsidR="00B66F06" w:rsidRPr="002D0EB0">
        <w:rPr>
          <w:rFonts w:ascii="Times New Roman" w:hAnsi="Times New Roman" w:cs="Times New Roman"/>
          <w:sz w:val="24"/>
          <w:szCs w:val="24"/>
        </w:rPr>
        <w:t>ny</w:t>
      </w:r>
      <w:proofErr w:type="spellEnd"/>
      <w:proofErr w:type="gramEnd"/>
      <w:r w:rsidR="00B66F06" w:rsidRPr="002D0EB0">
        <w:rPr>
          <w:rFonts w:ascii="Times New Roman" w:hAnsi="Times New Roman" w:cs="Times New Roman"/>
          <w:sz w:val="24"/>
          <w:szCs w:val="24"/>
        </w:rPr>
        <w:t xml:space="preserve"> the media should be adequate such that retaliatory action is possible. </w:t>
      </w:r>
      <w:r w:rsidRPr="002D0EB0">
        <w:rPr>
          <w:rFonts w:ascii="Times New Roman" w:hAnsi="Times New Roman" w:cs="Times New Roman"/>
          <w:sz w:val="24"/>
          <w:szCs w:val="24"/>
        </w:rPr>
        <w:t xml:space="preserve">The second major role is bringing to the attention of the citizens critical issues. Similar to the actions of Snowden, The media has investigative authority and role, where the critical purpose is exposing </w:t>
      </w:r>
      <w:r w:rsidR="00B66F06" w:rsidRPr="002D0EB0">
        <w:rPr>
          <w:rFonts w:ascii="Times New Roman" w:hAnsi="Times New Roman" w:cs="Times New Roman"/>
          <w:sz w:val="24"/>
          <w:szCs w:val="24"/>
        </w:rPr>
        <w:t xml:space="preserve">important aspects of politics and governments. The third role is educating the citizens so that they can make highly informed decisions </w:t>
      </w:r>
      <w:sdt>
        <w:sdtPr>
          <w:rPr>
            <w:rFonts w:ascii="Times New Roman" w:hAnsi="Times New Roman" w:cs="Times New Roman"/>
            <w:sz w:val="24"/>
            <w:szCs w:val="24"/>
          </w:rPr>
          <w:id w:val="65649864"/>
          <w:citation/>
        </w:sdtPr>
        <w:sdtContent>
          <w:r w:rsidR="00B66F06" w:rsidRPr="002D0EB0">
            <w:rPr>
              <w:rFonts w:ascii="Times New Roman" w:hAnsi="Times New Roman" w:cs="Times New Roman"/>
              <w:sz w:val="24"/>
              <w:szCs w:val="24"/>
            </w:rPr>
            <w:fldChar w:fldCharType="begin"/>
          </w:r>
          <w:r w:rsidR="00B66F06" w:rsidRPr="002D0EB0">
            <w:rPr>
              <w:rFonts w:ascii="Times New Roman" w:hAnsi="Times New Roman" w:cs="Times New Roman"/>
              <w:sz w:val="24"/>
              <w:szCs w:val="24"/>
            </w:rPr>
            <w:instrText xml:space="preserve"> CITATION The16 \l 1033  </w:instrText>
          </w:r>
          <w:r w:rsidR="00B66F06" w:rsidRPr="002D0EB0">
            <w:rPr>
              <w:rFonts w:ascii="Times New Roman" w:hAnsi="Times New Roman" w:cs="Times New Roman"/>
              <w:sz w:val="24"/>
              <w:szCs w:val="24"/>
            </w:rPr>
            <w:fldChar w:fldCharType="separate"/>
          </w:r>
          <w:r w:rsidR="00B66F06" w:rsidRPr="002D0EB0">
            <w:rPr>
              <w:rFonts w:ascii="Times New Roman" w:hAnsi="Times New Roman" w:cs="Times New Roman"/>
              <w:noProof/>
              <w:sz w:val="24"/>
              <w:szCs w:val="24"/>
            </w:rPr>
            <w:t>(Mintz, 2016)</w:t>
          </w:r>
          <w:r w:rsidR="00B66F06" w:rsidRPr="002D0EB0">
            <w:rPr>
              <w:rFonts w:ascii="Times New Roman" w:hAnsi="Times New Roman" w:cs="Times New Roman"/>
              <w:sz w:val="24"/>
              <w:szCs w:val="24"/>
            </w:rPr>
            <w:fldChar w:fldCharType="end"/>
          </w:r>
        </w:sdtContent>
      </w:sdt>
      <w:r w:rsidR="00B66F06" w:rsidRPr="002D0EB0">
        <w:rPr>
          <w:rFonts w:ascii="Times New Roman" w:hAnsi="Times New Roman" w:cs="Times New Roman"/>
          <w:sz w:val="24"/>
          <w:szCs w:val="24"/>
        </w:rPr>
        <w:t>. A roll out of new policies always associates with changes in the status quo. The media plays a crucial role in making sure that the public is aware of all aspects involved in the policy so that they can assume the power of the people before or immediately after implementation.</w:t>
      </w:r>
    </w:p>
    <w:p w:rsidR="002D0EB0" w:rsidRPr="002D0EB0" w:rsidRDefault="00B66F06" w:rsidP="002D0EB0">
      <w:pPr>
        <w:spacing w:line="480" w:lineRule="auto"/>
        <w:ind w:firstLine="720"/>
        <w:rPr>
          <w:rFonts w:ascii="Times New Roman" w:hAnsi="Times New Roman" w:cs="Times New Roman"/>
          <w:sz w:val="24"/>
          <w:szCs w:val="24"/>
        </w:rPr>
      </w:pPr>
      <w:r w:rsidRPr="002D0EB0">
        <w:rPr>
          <w:rFonts w:ascii="Times New Roman" w:hAnsi="Times New Roman" w:cs="Times New Roman"/>
          <w:sz w:val="24"/>
          <w:szCs w:val="24"/>
        </w:rPr>
        <w:t xml:space="preserve">The most important role for the media is educating the citizens. The role requires the media to hire professionals in every aspect to speak about current issues, and probably suggest solutions that would effectively influence the governing body for the better. The role requires that the media remains unbiased in fulfilling its role. </w:t>
      </w:r>
      <w:r w:rsidR="002D0EB0" w:rsidRPr="002D0EB0">
        <w:rPr>
          <w:rFonts w:ascii="Times New Roman" w:hAnsi="Times New Roman" w:cs="Times New Roman"/>
          <w:sz w:val="24"/>
          <w:szCs w:val="24"/>
        </w:rPr>
        <w:br w:type="page"/>
      </w:r>
    </w:p>
    <w:sdt>
      <w:sdtPr>
        <w:rPr>
          <w:rFonts w:ascii="Times New Roman" w:hAnsi="Times New Roman" w:cs="Times New Roman"/>
          <w:color w:val="auto"/>
          <w:sz w:val="24"/>
          <w:szCs w:val="24"/>
        </w:rPr>
        <w:id w:val="65649867"/>
        <w:docPartObj>
          <w:docPartGallery w:val="Bibliographies"/>
          <w:docPartUnique/>
        </w:docPartObj>
      </w:sdtPr>
      <w:sdtEndPr>
        <w:rPr>
          <w:rFonts w:eastAsiaTheme="minorEastAsia"/>
          <w:b w:val="0"/>
          <w:bCs w:val="0"/>
          <w:lang w:bidi="ar-SA"/>
        </w:rPr>
      </w:sdtEndPr>
      <w:sdtContent>
        <w:p w:rsidR="002D0EB0" w:rsidRPr="002D0EB0" w:rsidRDefault="002D0EB0" w:rsidP="002D0EB0">
          <w:pPr>
            <w:pStyle w:val="Heading1"/>
            <w:spacing w:line="480" w:lineRule="auto"/>
            <w:jc w:val="center"/>
            <w:rPr>
              <w:rFonts w:ascii="Times New Roman" w:hAnsi="Times New Roman" w:cs="Times New Roman"/>
              <w:color w:val="auto"/>
              <w:sz w:val="24"/>
              <w:szCs w:val="24"/>
            </w:rPr>
          </w:pPr>
          <w:r w:rsidRPr="002D0EB0">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2D0EB0" w:rsidRPr="002D0EB0" w:rsidRDefault="002D0EB0" w:rsidP="002D0EB0">
              <w:pPr>
                <w:pStyle w:val="Bibliography"/>
                <w:spacing w:line="480" w:lineRule="auto"/>
                <w:ind w:left="720" w:hanging="720"/>
                <w:rPr>
                  <w:rFonts w:ascii="Times New Roman" w:hAnsi="Times New Roman" w:cs="Times New Roman"/>
                  <w:noProof/>
                  <w:sz w:val="24"/>
                  <w:szCs w:val="24"/>
                </w:rPr>
              </w:pPr>
              <w:r w:rsidRPr="002D0EB0">
                <w:rPr>
                  <w:rFonts w:ascii="Times New Roman" w:hAnsi="Times New Roman" w:cs="Times New Roman"/>
                  <w:sz w:val="24"/>
                  <w:szCs w:val="24"/>
                </w:rPr>
                <w:fldChar w:fldCharType="begin"/>
              </w:r>
              <w:r w:rsidRPr="002D0EB0">
                <w:rPr>
                  <w:rFonts w:ascii="Times New Roman" w:hAnsi="Times New Roman" w:cs="Times New Roman"/>
                  <w:sz w:val="24"/>
                  <w:szCs w:val="24"/>
                </w:rPr>
                <w:instrText xml:space="preserve"> BIBLIOGRAPHY </w:instrText>
              </w:r>
              <w:r w:rsidRPr="002D0EB0">
                <w:rPr>
                  <w:rFonts w:ascii="Times New Roman" w:hAnsi="Times New Roman" w:cs="Times New Roman"/>
                  <w:sz w:val="24"/>
                  <w:szCs w:val="24"/>
                </w:rPr>
                <w:fldChar w:fldCharType="separate"/>
              </w:r>
              <w:r w:rsidRPr="002D0EB0">
                <w:rPr>
                  <w:rFonts w:ascii="Times New Roman" w:hAnsi="Times New Roman" w:cs="Times New Roman"/>
                  <w:noProof/>
                  <w:sz w:val="24"/>
                  <w:szCs w:val="24"/>
                </w:rPr>
                <w:t xml:space="preserve">Bill of Rights Institute. (n.d.). </w:t>
              </w:r>
              <w:r w:rsidRPr="002D0EB0">
                <w:rPr>
                  <w:rFonts w:ascii="Times New Roman" w:hAnsi="Times New Roman" w:cs="Times New Roman"/>
                  <w:i/>
                  <w:iCs/>
                  <w:noProof/>
                  <w:sz w:val="24"/>
                  <w:szCs w:val="24"/>
                </w:rPr>
                <w:t>McCulloch v Maryland (1819)</w:t>
              </w:r>
              <w:r w:rsidRPr="002D0EB0">
                <w:rPr>
                  <w:rFonts w:ascii="Times New Roman" w:hAnsi="Times New Roman" w:cs="Times New Roman"/>
                  <w:noProof/>
                  <w:sz w:val="24"/>
                  <w:szCs w:val="24"/>
                </w:rPr>
                <w:t>. Retrieved October 25, 2019, from Bill of Rights Institute: https://billofrightsinstitute.org/educate/educator-resources/lessons-plans/landmark-supreme-court-cases-elessons/mcculloch-v-maryland-1819/</w:t>
              </w:r>
            </w:p>
            <w:p w:rsidR="002D0EB0" w:rsidRPr="002D0EB0" w:rsidRDefault="002D0EB0" w:rsidP="002D0EB0">
              <w:pPr>
                <w:pStyle w:val="Bibliography"/>
                <w:spacing w:line="480" w:lineRule="auto"/>
                <w:ind w:left="720" w:hanging="720"/>
                <w:rPr>
                  <w:rFonts w:ascii="Times New Roman" w:hAnsi="Times New Roman" w:cs="Times New Roman"/>
                  <w:noProof/>
                  <w:sz w:val="24"/>
                  <w:szCs w:val="24"/>
                </w:rPr>
              </w:pPr>
              <w:r w:rsidRPr="002D0EB0">
                <w:rPr>
                  <w:rFonts w:ascii="Times New Roman" w:hAnsi="Times New Roman" w:cs="Times New Roman"/>
                  <w:noProof/>
                  <w:sz w:val="24"/>
                  <w:szCs w:val="24"/>
                </w:rPr>
                <w:t xml:space="preserve">Lemzy, A. (2018, October 24). </w:t>
              </w:r>
              <w:r w:rsidRPr="002D0EB0">
                <w:rPr>
                  <w:rFonts w:ascii="Times New Roman" w:hAnsi="Times New Roman" w:cs="Times New Roman"/>
                  <w:i/>
                  <w:iCs/>
                  <w:noProof/>
                  <w:sz w:val="24"/>
                  <w:szCs w:val="24"/>
                </w:rPr>
                <w:t>Here's how to increase voter turnout</w:t>
              </w:r>
              <w:r w:rsidRPr="002D0EB0">
                <w:rPr>
                  <w:rFonts w:ascii="Times New Roman" w:hAnsi="Times New Roman" w:cs="Times New Roman"/>
                  <w:noProof/>
                  <w:sz w:val="24"/>
                  <w:szCs w:val="24"/>
                </w:rPr>
                <w:t>. Retrieved October 25, 2019, from The Text Magic Blog: https://www.textmagic.com/blog/heres-how-to-increase-voter-turnout/</w:t>
              </w:r>
            </w:p>
            <w:p w:rsidR="002D0EB0" w:rsidRPr="002D0EB0" w:rsidRDefault="002D0EB0" w:rsidP="002D0EB0">
              <w:pPr>
                <w:pStyle w:val="Bibliography"/>
                <w:spacing w:line="480" w:lineRule="auto"/>
                <w:ind w:left="720" w:hanging="720"/>
                <w:rPr>
                  <w:rFonts w:ascii="Times New Roman" w:hAnsi="Times New Roman" w:cs="Times New Roman"/>
                  <w:noProof/>
                  <w:sz w:val="24"/>
                  <w:szCs w:val="24"/>
                </w:rPr>
              </w:pPr>
              <w:r w:rsidRPr="002D0EB0">
                <w:rPr>
                  <w:rFonts w:ascii="Times New Roman" w:hAnsi="Times New Roman" w:cs="Times New Roman"/>
                  <w:noProof/>
                  <w:sz w:val="24"/>
                  <w:szCs w:val="24"/>
                </w:rPr>
                <w:t>McCulloch v. State of Maryland, 17 U.S. 159 (Supreme Court of the United States March 7, 1819).</w:t>
              </w:r>
            </w:p>
            <w:p w:rsidR="002D0EB0" w:rsidRPr="002D0EB0" w:rsidRDefault="002D0EB0" w:rsidP="002D0EB0">
              <w:pPr>
                <w:pStyle w:val="Bibliography"/>
                <w:spacing w:line="480" w:lineRule="auto"/>
                <w:ind w:left="720" w:hanging="720"/>
                <w:rPr>
                  <w:rFonts w:ascii="Times New Roman" w:hAnsi="Times New Roman" w:cs="Times New Roman"/>
                  <w:noProof/>
                  <w:sz w:val="24"/>
                  <w:szCs w:val="24"/>
                </w:rPr>
              </w:pPr>
              <w:r w:rsidRPr="002D0EB0">
                <w:rPr>
                  <w:rFonts w:ascii="Times New Roman" w:hAnsi="Times New Roman" w:cs="Times New Roman"/>
                  <w:noProof/>
                  <w:sz w:val="24"/>
                  <w:szCs w:val="24"/>
                </w:rPr>
                <w:t xml:space="preserve">Mintz, S. (2016, October 20). </w:t>
              </w:r>
              <w:r w:rsidRPr="002D0EB0">
                <w:rPr>
                  <w:rFonts w:ascii="Times New Roman" w:hAnsi="Times New Roman" w:cs="Times New Roman"/>
                  <w:i/>
                  <w:iCs/>
                  <w:noProof/>
                  <w:sz w:val="24"/>
                  <w:szCs w:val="24"/>
                </w:rPr>
                <w:t>The role of the media in politics</w:t>
              </w:r>
              <w:r w:rsidRPr="002D0EB0">
                <w:rPr>
                  <w:rFonts w:ascii="Times New Roman" w:hAnsi="Times New Roman" w:cs="Times New Roman"/>
                  <w:noProof/>
                  <w:sz w:val="24"/>
                  <w:szCs w:val="24"/>
                </w:rPr>
                <w:t>. Retrieved October 25, 2019, from Ethics Sage: https://www.ethicssage.com/2016/10/the-role-of-the-media-in-politics.html</w:t>
              </w:r>
            </w:p>
            <w:p w:rsidR="002D0EB0" w:rsidRPr="002D0EB0" w:rsidRDefault="002D0EB0" w:rsidP="002D0EB0">
              <w:pPr>
                <w:pStyle w:val="Bibliography"/>
                <w:spacing w:line="480" w:lineRule="auto"/>
                <w:ind w:left="720" w:hanging="720"/>
                <w:rPr>
                  <w:rFonts w:ascii="Times New Roman" w:hAnsi="Times New Roman" w:cs="Times New Roman"/>
                  <w:noProof/>
                  <w:sz w:val="24"/>
                  <w:szCs w:val="24"/>
                </w:rPr>
              </w:pPr>
              <w:r w:rsidRPr="002D0EB0">
                <w:rPr>
                  <w:rFonts w:ascii="Times New Roman" w:hAnsi="Times New Roman" w:cs="Times New Roman"/>
                  <w:noProof/>
                  <w:sz w:val="24"/>
                  <w:szCs w:val="24"/>
                </w:rPr>
                <w:t xml:space="preserve">Oyez. (n.d.). </w:t>
              </w:r>
              <w:r w:rsidRPr="002D0EB0">
                <w:rPr>
                  <w:rFonts w:ascii="Times New Roman" w:hAnsi="Times New Roman" w:cs="Times New Roman"/>
                  <w:i/>
                  <w:iCs/>
                  <w:noProof/>
                  <w:sz w:val="24"/>
                  <w:szCs w:val="24"/>
                </w:rPr>
                <w:t>McCulloch v. Maryland</w:t>
              </w:r>
              <w:r w:rsidRPr="002D0EB0">
                <w:rPr>
                  <w:rFonts w:ascii="Times New Roman" w:hAnsi="Times New Roman" w:cs="Times New Roman"/>
                  <w:noProof/>
                  <w:sz w:val="24"/>
                  <w:szCs w:val="24"/>
                </w:rPr>
                <w:t>. Retrieved Ocotber 25, 2019, from Oyez: https://www.oyez.org/cases/1789-1850/17us316</w:t>
              </w:r>
            </w:p>
            <w:p w:rsidR="002D0EB0" w:rsidRPr="002D0EB0" w:rsidRDefault="002D0EB0" w:rsidP="002D0EB0">
              <w:pPr>
                <w:pStyle w:val="Bibliography"/>
                <w:spacing w:line="480" w:lineRule="auto"/>
                <w:ind w:left="720" w:hanging="720"/>
                <w:rPr>
                  <w:rFonts w:ascii="Times New Roman" w:hAnsi="Times New Roman" w:cs="Times New Roman"/>
                  <w:noProof/>
                  <w:sz w:val="24"/>
                  <w:szCs w:val="24"/>
                </w:rPr>
              </w:pPr>
              <w:r w:rsidRPr="002D0EB0">
                <w:rPr>
                  <w:rFonts w:ascii="Times New Roman" w:hAnsi="Times New Roman" w:cs="Times New Roman"/>
                  <w:noProof/>
                  <w:sz w:val="24"/>
                  <w:szCs w:val="24"/>
                </w:rPr>
                <w:t xml:space="preserve">Root, D., &amp; Kennedy, L. (2018, July 11). </w:t>
              </w:r>
              <w:r w:rsidRPr="002D0EB0">
                <w:rPr>
                  <w:rFonts w:ascii="Times New Roman" w:hAnsi="Times New Roman" w:cs="Times New Roman"/>
                  <w:i/>
                  <w:iCs/>
                  <w:noProof/>
                  <w:sz w:val="24"/>
                  <w:szCs w:val="24"/>
                </w:rPr>
                <w:t>Increasing voter participation in America</w:t>
              </w:r>
              <w:r w:rsidRPr="002D0EB0">
                <w:rPr>
                  <w:rFonts w:ascii="Times New Roman" w:hAnsi="Times New Roman" w:cs="Times New Roman"/>
                  <w:noProof/>
                  <w:sz w:val="24"/>
                  <w:szCs w:val="24"/>
                </w:rPr>
                <w:t>. Retrieved October 25, 2019, from American Progress: https://www.americanprogress.org/issues/democracy/reports/2018/07/11/453319/increasing-voter-participation-america/</w:t>
              </w:r>
            </w:p>
            <w:p w:rsidR="002D0EB0" w:rsidRPr="002D0EB0" w:rsidRDefault="002D0EB0" w:rsidP="002D0EB0">
              <w:pPr>
                <w:pStyle w:val="Bibliography"/>
                <w:spacing w:line="480" w:lineRule="auto"/>
                <w:ind w:left="720" w:hanging="720"/>
                <w:rPr>
                  <w:rFonts w:ascii="Times New Roman" w:hAnsi="Times New Roman" w:cs="Times New Roman"/>
                  <w:noProof/>
                  <w:sz w:val="24"/>
                  <w:szCs w:val="24"/>
                </w:rPr>
              </w:pPr>
              <w:r w:rsidRPr="002D0EB0">
                <w:rPr>
                  <w:rFonts w:ascii="Times New Roman" w:hAnsi="Times New Roman" w:cs="Times New Roman"/>
                  <w:noProof/>
                  <w:sz w:val="24"/>
                  <w:szCs w:val="24"/>
                </w:rPr>
                <w:t xml:space="preserve">Wasby, S. L. (2010). Interest groups and litigation. </w:t>
              </w:r>
              <w:r w:rsidRPr="002D0EB0">
                <w:rPr>
                  <w:rFonts w:ascii="Times New Roman" w:hAnsi="Times New Roman" w:cs="Times New Roman"/>
                  <w:i/>
                  <w:iCs/>
                  <w:noProof/>
                  <w:sz w:val="24"/>
                  <w:szCs w:val="24"/>
                </w:rPr>
                <w:t>Policy Study Journal</w:t>
              </w:r>
              <w:r w:rsidRPr="002D0EB0">
                <w:rPr>
                  <w:rFonts w:ascii="Times New Roman" w:hAnsi="Times New Roman" w:cs="Times New Roman"/>
                  <w:noProof/>
                  <w:sz w:val="24"/>
                  <w:szCs w:val="24"/>
                </w:rPr>
                <w:t xml:space="preserve"> </w:t>
              </w:r>
              <w:r w:rsidRPr="002D0EB0">
                <w:rPr>
                  <w:rFonts w:ascii="Times New Roman" w:hAnsi="Times New Roman" w:cs="Times New Roman"/>
                  <w:i/>
                  <w:iCs/>
                  <w:noProof/>
                  <w:sz w:val="24"/>
                  <w:szCs w:val="24"/>
                </w:rPr>
                <w:t>, 11</w:t>
              </w:r>
              <w:r w:rsidRPr="002D0EB0">
                <w:rPr>
                  <w:rFonts w:ascii="Times New Roman" w:hAnsi="Times New Roman" w:cs="Times New Roman"/>
                  <w:noProof/>
                  <w:sz w:val="24"/>
                  <w:szCs w:val="24"/>
                </w:rPr>
                <w:t xml:space="preserve"> (4), 657-670.</w:t>
              </w:r>
            </w:p>
            <w:p w:rsidR="002D0EB0" w:rsidRPr="002D0EB0" w:rsidRDefault="002D0EB0" w:rsidP="002D0EB0">
              <w:pPr>
                <w:spacing w:line="480" w:lineRule="auto"/>
                <w:ind w:left="720" w:hanging="720"/>
                <w:rPr>
                  <w:rFonts w:ascii="Times New Roman" w:hAnsi="Times New Roman" w:cs="Times New Roman"/>
                  <w:sz w:val="24"/>
                  <w:szCs w:val="24"/>
                </w:rPr>
              </w:pPr>
              <w:r w:rsidRPr="002D0EB0">
                <w:rPr>
                  <w:rFonts w:ascii="Times New Roman" w:hAnsi="Times New Roman" w:cs="Times New Roman"/>
                  <w:sz w:val="24"/>
                  <w:szCs w:val="24"/>
                </w:rPr>
                <w:fldChar w:fldCharType="end"/>
              </w:r>
            </w:p>
          </w:sdtContent>
        </w:sdt>
      </w:sdtContent>
    </w:sdt>
    <w:p w:rsidR="00B66F06" w:rsidRPr="002D0EB0" w:rsidRDefault="00B66F06" w:rsidP="002D0EB0">
      <w:pPr>
        <w:spacing w:line="480" w:lineRule="auto"/>
        <w:ind w:firstLine="720"/>
        <w:rPr>
          <w:rFonts w:ascii="Times New Roman" w:hAnsi="Times New Roman" w:cs="Times New Roman"/>
          <w:sz w:val="24"/>
          <w:szCs w:val="24"/>
        </w:rPr>
      </w:pPr>
    </w:p>
    <w:sectPr w:rsidR="00B66F06" w:rsidRPr="002D0E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D7DF5"/>
    <w:rsid w:val="00062ECC"/>
    <w:rsid w:val="000B47AF"/>
    <w:rsid w:val="002D0EB0"/>
    <w:rsid w:val="00414711"/>
    <w:rsid w:val="005C3F27"/>
    <w:rsid w:val="00890C93"/>
    <w:rsid w:val="008F5D66"/>
    <w:rsid w:val="009C24B8"/>
    <w:rsid w:val="00B01CC5"/>
    <w:rsid w:val="00B66F06"/>
    <w:rsid w:val="00BE4D21"/>
    <w:rsid w:val="00D22D44"/>
    <w:rsid w:val="00E90DB2"/>
    <w:rsid w:val="00ED7DF5"/>
    <w:rsid w:val="00F15E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D0EB0"/>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7DF5"/>
    <w:pPr>
      <w:ind w:left="720"/>
      <w:contextualSpacing/>
    </w:pPr>
  </w:style>
  <w:style w:type="paragraph" w:styleId="BalloonText">
    <w:name w:val="Balloon Text"/>
    <w:basedOn w:val="Normal"/>
    <w:link w:val="BalloonTextChar"/>
    <w:uiPriority w:val="99"/>
    <w:semiHidden/>
    <w:unhideWhenUsed/>
    <w:rsid w:val="00414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4711"/>
    <w:rPr>
      <w:rFonts w:ascii="Tahoma" w:hAnsi="Tahoma" w:cs="Tahoma"/>
      <w:sz w:val="16"/>
      <w:szCs w:val="16"/>
    </w:rPr>
  </w:style>
  <w:style w:type="character" w:customStyle="1" w:styleId="Heading1Char">
    <w:name w:val="Heading 1 Char"/>
    <w:basedOn w:val="DefaultParagraphFont"/>
    <w:link w:val="Heading1"/>
    <w:uiPriority w:val="9"/>
    <w:rsid w:val="002D0EB0"/>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2D0EB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Oye191</b:Tag>
    <b:SourceType>InternetSite</b:SourceType>
    <b:Guid>{2BC62B18-F701-4B58-8477-793F171EF218}</b:Guid>
    <b:LCID>0</b:LCID>
    <b:Author>
      <b:Author>
        <b:Corporate>Oyez</b:Corporate>
      </b:Author>
    </b:Author>
    <b:Title>McCulloch v. Maryland</b:Title>
    <b:InternetSiteTitle>Oyez</b:InternetSiteTitle>
    <b:YearAccessed>2019</b:YearAccessed>
    <b:MonthAccessed>Ocotber</b:MonthAccessed>
    <b:DayAccessed>25</b:DayAccessed>
    <b:URL>https://www.oyez.org/cases/1789-1850/17us316</b:URL>
    <b:RefOrder>3</b:RefOrder>
  </b:Source>
  <b:Source>
    <b:Tag>Bil19</b:Tag>
    <b:SourceType>InternetSite</b:SourceType>
    <b:Guid>{C94BA6A7-5158-4E67-8E0A-0809A46D904E}</b:Guid>
    <b:LCID>0</b:LCID>
    <b:Author>
      <b:Author>
        <b:Corporate>Bill of Rights Institute</b:Corporate>
      </b:Author>
    </b:Author>
    <b:Title>McCulloch v Maryland (1819)</b:Title>
    <b:InternetSiteTitle>Bill of Rights Institute</b:InternetSiteTitle>
    <b:YearAccessed>2019</b:YearAccessed>
    <b:MonthAccessed>October</b:MonthAccessed>
    <b:DayAccessed>25</b:DayAccessed>
    <b:URL>https://billofrightsinstitute.org/educate/educator-resources/lessons-plans/landmark-supreme-court-cases-elessons/mcculloch-v-maryland-1819/</b:URL>
    <b:RefOrder>1</b:RefOrder>
  </b:Source>
  <b:Source>
    <b:Tag>McC191</b:Tag>
    <b:SourceType>Case</b:SourceType>
    <b:Guid>{043BEBD2-8996-4D3D-A345-15F5C4E61E17}</b:Guid>
    <b:LCID>0</b:LCID>
    <b:Title>McCulloch v. State of Maryland</b:Title>
    <b:Year>1819</b:Year>
    <b:Month>March</b:Month>
    <b:Day>7</b:Day>
    <b:CaseNumber>17 U.S. 159</b:CaseNumber>
    <b:Court>Supreme Court of the United States</b:Court>
    <b:RefOrder>2</b:RefOrder>
  </b:Source>
  <b:Source>
    <b:Tag>Was10</b:Tag>
    <b:SourceType>JournalArticle</b:SourceType>
    <b:Guid>{1AB560F1-BEB7-4F69-BBEA-B0E27339398F}</b:Guid>
    <b:LCID>0</b:LCID>
    <b:Title>Interest groups and litigation</b:Title>
    <b:Year>2010</b:Year>
    <b:Author>
      <b:Author>
        <b:NameList>
          <b:Person>
            <b:Last>Wasby</b:Last>
            <b:First>Stephen</b:First>
            <b:Middle>L.</b:Middle>
          </b:Person>
        </b:NameList>
      </b:Author>
    </b:Author>
    <b:JournalName>Policy Study Journal</b:JournalName>
    <b:Pages>657-670</b:Pages>
    <b:Volume>11</b:Volume>
    <b:Issue>4</b:Issue>
    <b:RefOrder>6</b:RefOrder>
  </b:Source>
  <b:Source>
    <b:Tag>The16</b:Tag>
    <b:SourceType>InternetSite</b:SourceType>
    <b:Guid>{31659EF8-A204-4B29-9D76-EED6FE6AF2DB}</b:Guid>
    <b:LCID>0</b:LCID>
    <b:Title>The role of the media in politics</b:Title>
    <b:Year>2016</b:Year>
    <b:InternetSiteTitle>Ethics Sage</b:InternetSiteTitle>
    <b:Month>October</b:Month>
    <b:Day>20</b:Day>
    <b:YearAccessed>2019</b:YearAccessed>
    <b:MonthAccessed>October</b:MonthAccessed>
    <b:DayAccessed>25</b:DayAccessed>
    <b:URL>https://www.ethicssage.com/2016/10/the-role-of-the-media-in-politics.html</b:URL>
    <b:Author>
      <b:Author>
        <b:NameList>
          <b:Person>
            <b:Last>Mintz</b:Last>
            <b:First>Steven</b:First>
          </b:Person>
        </b:NameList>
      </b:Author>
    </b:Author>
    <b:RefOrder>7</b:RefOrder>
  </b:Source>
  <b:Source>
    <b:Tag>Roo18</b:Tag>
    <b:SourceType>InternetSite</b:SourceType>
    <b:Guid>{4741D99A-2813-48F6-AA0F-D557B1C188DA}</b:Guid>
    <b:LCID>0</b:LCID>
    <b:Author>
      <b:Author>
        <b:NameList>
          <b:Person>
            <b:Last>Root</b:Last>
            <b:First>Danielle</b:First>
          </b:Person>
          <b:Person>
            <b:Last>Kennedy</b:Last>
            <b:First>Liz</b:First>
          </b:Person>
        </b:NameList>
      </b:Author>
    </b:Author>
    <b:Title>Increasing voter participation in America</b:Title>
    <b:InternetSiteTitle>American Progress</b:InternetSiteTitle>
    <b:Year>2018</b:Year>
    <b:Month>July</b:Month>
    <b:Day>11</b:Day>
    <b:YearAccessed>2019</b:YearAccessed>
    <b:MonthAccessed>October</b:MonthAccessed>
    <b:DayAccessed>25</b:DayAccessed>
    <b:URL>https://www.americanprogress.org/issues/democracy/reports/2018/07/11/453319/increasing-voter-participation-america/</b:URL>
    <b:RefOrder>5</b:RefOrder>
  </b:Source>
  <b:Source>
    <b:Tag>Lem18</b:Tag>
    <b:SourceType>InternetSite</b:SourceType>
    <b:Guid>{14A8E8FE-F211-48EF-82F7-A75C8492AAB7}</b:Guid>
    <b:LCID>0</b:LCID>
    <b:Author>
      <b:Author>
        <b:NameList>
          <b:Person>
            <b:Last>Lemzy</b:Last>
            <b:First>Alexa</b:First>
          </b:Person>
        </b:NameList>
      </b:Author>
    </b:Author>
    <b:Title>Here's how to increase voter turnout</b:Title>
    <b:InternetSiteTitle>The Text Magic Blog</b:InternetSiteTitle>
    <b:Year>2018</b:Year>
    <b:Month>October</b:Month>
    <b:Day>24</b:Day>
    <b:YearAccessed>2019</b:YearAccessed>
    <b:MonthAccessed>October</b:MonthAccessed>
    <b:DayAccessed>25</b:DayAccessed>
    <b:URL>https://www.textmagic.com/blog/heres-how-to-increase-voter-turnout/</b:URL>
    <b:RefOrder>4</b:RefOrder>
  </b:Source>
</b:Sources>
</file>

<file path=customXml/itemProps1.xml><?xml version="1.0" encoding="utf-8"?>
<ds:datastoreItem xmlns:ds="http://schemas.openxmlformats.org/officeDocument/2006/customXml" ds:itemID="{40777219-6292-439E-AFCA-0D74AA583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606</TotalTime>
  <Pages>6</Pages>
  <Words>1337</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2019-10-25T14:19:00Z</dcterms:created>
  <dcterms:modified xsi:type="dcterms:W3CDTF">2019-10-26T00:25:00Z</dcterms:modified>
</cp:coreProperties>
</file>